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4F5" w:rsidRPr="009265BC" w:rsidRDefault="005631DC" w:rsidP="009265BC">
      <w:pPr>
        <w:pStyle w:val="Heading1"/>
        <w:rPr>
          <w:rFonts w:asciiTheme="minorHAnsi" w:hAnsiTheme="minorHAnsi"/>
        </w:rPr>
      </w:pPr>
      <w:r>
        <w:rPr>
          <w:rFonts w:asciiTheme="minorHAnsi" w:hAnsiTheme="minorHAnsi"/>
        </w:rPr>
        <w:t>Funded Workforce Development Projects</w:t>
      </w:r>
      <w:r w:rsidR="00BB4CDE">
        <w:rPr>
          <w:rFonts w:asciiTheme="minorHAnsi" w:hAnsiTheme="minorHAnsi"/>
        </w:rPr>
        <w:t xml:space="preserve"> </w:t>
      </w:r>
      <w:r w:rsidR="00BB4CDE" w:rsidRPr="00BB4CDE">
        <w:rPr>
          <w:rFonts w:asciiTheme="minorHAnsi" w:hAnsiTheme="minorHAnsi"/>
          <w:b w:val="0"/>
        </w:rPr>
        <w:t>(funded in 2017</w:t>
      </w:r>
      <w:r w:rsidR="00020361">
        <w:rPr>
          <w:rFonts w:asciiTheme="minorHAnsi" w:hAnsiTheme="minorHAnsi"/>
          <w:b w:val="0"/>
        </w:rPr>
        <w:t>-18</w:t>
      </w:r>
      <w:r w:rsidR="00BB4CDE" w:rsidRPr="00BB4CDE">
        <w:rPr>
          <w:rFonts w:asciiTheme="minorHAnsi" w:hAnsiTheme="minorHAnsi"/>
          <w:b w:val="0"/>
        </w:rPr>
        <w:t>)</w:t>
      </w:r>
    </w:p>
    <w:p w:rsidR="00145DAE" w:rsidRPr="00AE5D42" w:rsidRDefault="00145DAE" w:rsidP="00145DAE">
      <w:pPr>
        <w:rPr>
          <w:rFonts w:cstheme="minorHAnsi"/>
        </w:rPr>
      </w:pPr>
      <w:r>
        <w:rPr>
          <w:rFonts w:cstheme="minorHAnsi"/>
        </w:rPr>
        <w:t>Workforce Development projects:</w:t>
      </w:r>
    </w:p>
    <w:p w:rsidR="00145DAE" w:rsidRPr="00AE5D42" w:rsidRDefault="00145DAE" w:rsidP="00145DAE">
      <w:pPr>
        <w:pStyle w:val="ListParagraph"/>
        <w:numPr>
          <w:ilvl w:val="0"/>
          <w:numId w:val="1"/>
        </w:numPr>
        <w:tabs>
          <w:tab w:val="left" w:pos="425"/>
        </w:tabs>
        <w:spacing w:after="120"/>
        <w:ind w:left="714" w:hanging="357"/>
        <w:contextualSpacing w:val="0"/>
        <w:rPr>
          <w:rFonts w:ascii="Gill Sans MT" w:eastAsia="Times New Roman" w:hAnsi="Gill Sans MT" w:cstheme="minorHAnsi"/>
        </w:rPr>
      </w:pPr>
      <w:r w:rsidRPr="00AE5D42">
        <w:rPr>
          <w:rFonts w:ascii="Gill Sans MT" w:eastAsia="Times New Roman" w:hAnsi="Gill Sans MT" w:cstheme="minorHAnsi"/>
        </w:rPr>
        <w:t>support industry and regional engagement in wor</w:t>
      </w:r>
      <w:r>
        <w:rPr>
          <w:rFonts w:ascii="Gill Sans MT" w:eastAsia="Times New Roman" w:hAnsi="Gill Sans MT" w:cstheme="minorHAnsi"/>
        </w:rPr>
        <w:t>kforce planning and development;</w:t>
      </w:r>
    </w:p>
    <w:p w:rsidR="00145DAE" w:rsidRPr="00AE5D42" w:rsidRDefault="00145DAE" w:rsidP="00145DAE">
      <w:pPr>
        <w:pStyle w:val="ListParagraph"/>
        <w:numPr>
          <w:ilvl w:val="0"/>
          <w:numId w:val="1"/>
        </w:numPr>
        <w:tabs>
          <w:tab w:val="left" w:pos="425"/>
        </w:tabs>
        <w:spacing w:after="120"/>
        <w:ind w:left="714" w:hanging="357"/>
        <w:contextualSpacing w:val="0"/>
        <w:rPr>
          <w:rFonts w:ascii="Gill Sans MT" w:eastAsia="Times New Roman" w:hAnsi="Gill Sans MT" w:cstheme="minorHAnsi"/>
        </w:rPr>
      </w:pPr>
      <w:r w:rsidRPr="00AE5D42">
        <w:rPr>
          <w:rFonts w:ascii="Gill Sans MT" w:eastAsia="Times New Roman" w:hAnsi="Gill Sans MT" w:cstheme="minorHAnsi"/>
        </w:rPr>
        <w:t>improve collaboration between industry and employers with training providers, and improve engagement of industry and employers in the training a</w:t>
      </w:r>
      <w:r>
        <w:rPr>
          <w:rFonts w:ascii="Gill Sans MT" w:eastAsia="Times New Roman" w:hAnsi="Gill Sans MT" w:cstheme="minorHAnsi"/>
        </w:rPr>
        <w:t>nd workforce development system; and</w:t>
      </w:r>
    </w:p>
    <w:p w:rsidR="00145DAE" w:rsidRPr="00AE5D42" w:rsidRDefault="00145DAE" w:rsidP="00145DAE">
      <w:pPr>
        <w:pStyle w:val="ListParagraph"/>
        <w:numPr>
          <w:ilvl w:val="0"/>
          <w:numId w:val="1"/>
        </w:numPr>
        <w:tabs>
          <w:tab w:val="left" w:pos="425"/>
        </w:tabs>
        <w:spacing w:after="120"/>
        <w:ind w:left="714" w:hanging="357"/>
        <w:contextualSpacing w:val="0"/>
        <w:rPr>
          <w:rFonts w:ascii="Gill Sans MT" w:eastAsia="Times New Roman" w:hAnsi="Gill Sans MT" w:cstheme="minorHAnsi"/>
        </w:rPr>
      </w:pPr>
      <w:r w:rsidRPr="00AE5D42">
        <w:rPr>
          <w:rFonts w:ascii="Gill Sans MT" w:eastAsia="Times New Roman" w:hAnsi="Gill Sans MT" w:cstheme="minorHAnsi"/>
        </w:rPr>
        <w:t>develop and implement effective responses, and promote and facilitate collaboration with training providers, to ensure training and skill development meet contemporary and emerging industry standards and requirements.</w:t>
      </w:r>
    </w:p>
    <w:p w:rsidR="00145DAE" w:rsidRDefault="00145DAE" w:rsidP="00145DAE">
      <w:pPr>
        <w:rPr>
          <w:rFonts w:cstheme="minorHAnsi"/>
        </w:rPr>
      </w:pPr>
      <w:r w:rsidRPr="00AE5D42">
        <w:rPr>
          <w:rFonts w:cstheme="minorHAnsi"/>
        </w:rPr>
        <w:t>Workforce Plans, Projects and Initiatives support industry and regions to identify and manage future workforce challenges.</w:t>
      </w:r>
    </w:p>
    <w:p w:rsidR="00906F6B" w:rsidRPr="00AE5D42" w:rsidRDefault="00906F6B" w:rsidP="00145DAE">
      <w:pPr>
        <w:rPr>
          <w:rFonts w:cstheme="minorHAnsi"/>
        </w:rPr>
      </w:pPr>
      <w:r>
        <w:rPr>
          <w:rFonts w:cstheme="minorHAnsi"/>
        </w:rPr>
        <w:t xml:space="preserve">Finalised project reports and plans can be found </w:t>
      </w:r>
      <w:hyperlink r:id="rId5" w:history="1">
        <w:r w:rsidRPr="007477EE">
          <w:rPr>
            <w:rStyle w:val="Hyperlink"/>
            <w:rFonts w:cstheme="minorHAnsi"/>
          </w:rPr>
          <w:t>https://www.skills.tas.gov.au/employersindustry/workforceplans</w:t>
        </w:r>
      </w:hyperlink>
      <w:r>
        <w:rPr>
          <w:rFonts w:cstheme="minorHAnsi"/>
        </w:rPr>
        <w:t xml:space="preserve"> </w:t>
      </w:r>
    </w:p>
    <w:p w:rsidR="00020361" w:rsidRDefault="00020361" w:rsidP="00BB4CDE">
      <w:pPr>
        <w:spacing w:before="120" w:after="120" w:line="240" w:lineRule="auto"/>
        <w:rPr>
          <w:rFonts w:asciiTheme="minorHAnsi" w:hAnsiTheme="minorHAnsi"/>
        </w:rPr>
      </w:pPr>
      <w:bookmarkStart w:id="0" w:name="_GoBack"/>
      <w:bookmarkEnd w:id="0"/>
    </w:p>
    <w:tbl>
      <w:tblPr>
        <w:tblStyle w:val="ListTable4-Accent1"/>
        <w:tblW w:w="14346" w:type="dxa"/>
        <w:tblLook w:val="04A0" w:firstRow="1" w:lastRow="0" w:firstColumn="1" w:lastColumn="0" w:noHBand="0" w:noVBand="1"/>
      </w:tblPr>
      <w:tblGrid>
        <w:gridCol w:w="1980"/>
        <w:gridCol w:w="2496"/>
        <w:gridCol w:w="1128"/>
        <w:gridCol w:w="8742"/>
      </w:tblGrid>
      <w:tr w:rsidR="00553304" w:rsidRPr="00020361" w:rsidTr="00553304">
        <w:trPr>
          <w:cnfStyle w:val="100000000000" w:firstRow="1" w:lastRow="0" w:firstColumn="0" w:lastColumn="0" w:oddVBand="0" w:evenVBand="0" w:oddHBand="0"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980" w:type="dxa"/>
          </w:tcPr>
          <w:p w:rsidR="00553304" w:rsidRPr="00020361" w:rsidRDefault="00553304" w:rsidP="00020361">
            <w:pPr>
              <w:spacing w:before="120" w:after="120" w:line="240" w:lineRule="auto"/>
              <w:rPr>
                <w:rFonts w:asciiTheme="minorHAnsi" w:hAnsiTheme="minorHAnsi"/>
              </w:rPr>
            </w:pPr>
            <w:r>
              <w:rPr>
                <w:rFonts w:asciiTheme="minorHAnsi" w:hAnsiTheme="minorHAnsi"/>
              </w:rPr>
              <w:t>Project Owner</w:t>
            </w:r>
          </w:p>
        </w:tc>
        <w:tc>
          <w:tcPr>
            <w:tcW w:w="2496" w:type="dxa"/>
          </w:tcPr>
          <w:p w:rsidR="00553304" w:rsidRPr="00020361" w:rsidRDefault="00553304" w:rsidP="00020361">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Project Name</w:t>
            </w:r>
          </w:p>
        </w:tc>
        <w:tc>
          <w:tcPr>
            <w:tcW w:w="1128" w:type="dxa"/>
          </w:tcPr>
          <w:p w:rsidR="00553304" w:rsidRPr="00020361" w:rsidRDefault="00553304" w:rsidP="00020361">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Grant Values (ex GST)</w:t>
            </w:r>
          </w:p>
        </w:tc>
        <w:tc>
          <w:tcPr>
            <w:tcW w:w="8742" w:type="dxa"/>
          </w:tcPr>
          <w:p w:rsidR="00553304" w:rsidRPr="00020361" w:rsidRDefault="00553304" w:rsidP="00020361">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Project Summary</w:t>
            </w:r>
          </w:p>
        </w:tc>
      </w:tr>
      <w:tr w:rsidR="00020361" w:rsidRPr="00020361" w:rsidTr="00553304">
        <w:trPr>
          <w:cnfStyle w:val="000000100000" w:firstRow="0" w:lastRow="0" w:firstColumn="0" w:lastColumn="0" w:oddVBand="0" w:evenVBand="0" w:oddHBand="1" w:evenHBand="0" w:firstRowFirstColumn="0" w:firstRowLastColumn="0" w:lastRowFirstColumn="0" w:lastRowLastColumn="0"/>
          <w:trHeight w:val="879"/>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t>Geeveston Community Centre (GeCo)</w:t>
            </w:r>
          </w:p>
        </w:tc>
        <w:tc>
          <w:tcPr>
            <w:tcW w:w="2496"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 xml:space="preserve">Huon Valley Works Employment Hub </w:t>
            </w:r>
            <w:r w:rsidRPr="00020361">
              <w:rPr>
                <w:rFonts w:asciiTheme="minorHAnsi" w:hAnsiTheme="minorHAnsi"/>
              </w:rPr>
              <w:br/>
              <w:t>Stage 2</w:t>
            </w:r>
          </w:p>
        </w:tc>
        <w:tc>
          <w:tcPr>
            <w:tcW w:w="1128"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$90,000</w:t>
            </w:r>
          </w:p>
        </w:tc>
        <w:tc>
          <w:tcPr>
            <w:tcW w:w="8742"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Local businesses have skilled employees to support their growth and local jobseekers have the skills to succeed in securing employment. Stage 2, building on Pilot of 2015-17</w:t>
            </w:r>
          </w:p>
        </w:tc>
      </w:tr>
      <w:tr w:rsidR="00020361" w:rsidRPr="00020361" w:rsidTr="00553304">
        <w:trPr>
          <w:trHeight w:val="879"/>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t>ACST</w:t>
            </w:r>
          </w:p>
        </w:tc>
        <w:tc>
          <w:tcPr>
            <w:tcW w:w="2496"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Aged Services Sector…. Not just for Older People!</w:t>
            </w:r>
          </w:p>
        </w:tc>
        <w:tc>
          <w:tcPr>
            <w:tcW w:w="1128"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$91,000</w:t>
            </w:r>
          </w:p>
        </w:tc>
        <w:tc>
          <w:tcPr>
            <w:tcW w:w="8742"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Increase the number of young people entering into the Aged Services Sector, through: providing structured career paths; awareness raising; career awareness program for year 9 &amp; 10 students; school based apprenticeship program.</w:t>
            </w:r>
          </w:p>
        </w:tc>
      </w:tr>
      <w:tr w:rsidR="00020361" w:rsidRPr="00020361" w:rsidTr="00553304">
        <w:trPr>
          <w:cnfStyle w:val="000000100000" w:firstRow="0" w:lastRow="0" w:firstColumn="0" w:lastColumn="0" w:oddVBand="0" w:evenVBand="0" w:oddHBand="1" w:evenHBand="0" w:firstRowFirstColumn="0" w:firstRowLastColumn="0" w:lastRowFirstColumn="0" w:lastRowLastColumn="0"/>
          <w:trHeight w:val="823"/>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t>TasICT</w:t>
            </w:r>
          </w:p>
        </w:tc>
        <w:tc>
          <w:tcPr>
            <w:tcW w:w="2496"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TasICT Workforce Development Microsite Platform</w:t>
            </w:r>
          </w:p>
        </w:tc>
        <w:tc>
          <w:tcPr>
            <w:tcW w:w="1128"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$95,000</w:t>
            </w:r>
          </w:p>
        </w:tc>
        <w:tc>
          <w:tcPr>
            <w:tcW w:w="8742"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 xml:space="preserve">To support the development of an interactive website, app, front end and back end platforms for the ICT industry to engage with students, educational partners and the general public interested in the industry's jobs, skilling and workforce information in terms of the Plan.  </w:t>
            </w:r>
          </w:p>
        </w:tc>
      </w:tr>
      <w:tr w:rsidR="00020361" w:rsidRPr="00020361" w:rsidTr="00553304">
        <w:trPr>
          <w:trHeight w:val="1029"/>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lastRenderedPageBreak/>
              <w:t>Fermentation Tasmania Ltd</w:t>
            </w:r>
          </w:p>
        </w:tc>
        <w:tc>
          <w:tcPr>
            <w:tcW w:w="2496"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Tasmanian Fermented Food and Drink Sector Workforce Development Project</w:t>
            </w:r>
          </w:p>
        </w:tc>
        <w:tc>
          <w:tcPr>
            <w:tcW w:w="1128"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$54,720</w:t>
            </w:r>
          </w:p>
        </w:tc>
        <w:tc>
          <w:tcPr>
            <w:tcW w:w="8742"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To support a project to identify current and predicted (enterprise, sectoral, cross sectoral and regional) workforce development needs - both technical and business - within and across the different fermentation sectors, to improve industry's engagement with the training and workforce development system and inform the development of relevant training opportunities.</w:t>
            </w:r>
          </w:p>
        </w:tc>
      </w:tr>
      <w:tr w:rsidR="00020361" w:rsidRPr="00020361" w:rsidTr="00553304">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t>Tasmanian Creative Industries T/as Creative Island</w:t>
            </w:r>
          </w:p>
        </w:tc>
        <w:tc>
          <w:tcPr>
            <w:tcW w:w="2496"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Screen Industry Workforce Development Plan</w:t>
            </w:r>
          </w:p>
        </w:tc>
        <w:tc>
          <w:tcPr>
            <w:tcW w:w="1128"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$65,000</w:t>
            </w:r>
          </w:p>
        </w:tc>
        <w:tc>
          <w:tcPr>
            <w:tcW w:w="8742"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To support the implementation of specific and targeted measures proposed in the 2016 Screen Industry workforce plan, to increase opportunities for the entry, early and established screen industry workforce through aligning secondary education and vocational training outcomes with industry requirements.</w:t>
            </w:r>
          </w:p>
        </w:tc>
      </w:tr>
      <w:tr w:rsidR="00020361" w:rsidRPr="00020361" w:rsidTr="00553304">
        <w:trPr>
          <w:trHeight w:val="515"/>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t>Break O'Day Council</w:t>
            </w:r>
          </w:p>
        </w:tc>
        <w:tc>
          <w:tcPr>
            <w:tcW w:w="2496"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A Workforce for the Future</w:t>
            </w:r>
          </w:p>
        </w:tc>
        <w:tc>
          <w:tcPr>
            <w:tcW w:w="1128"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$77,500</w:t>
            </w:r>
          </w:p>
        </w:tc>
        <w:tc>
          <w:tcPr>
            <w:tcW w:w="8742"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This project seeks to enable local economic development by creating workforce development plan for the local Break O' Day economy and community.</w:t>
            </w:r>
          </w:p>
        </w:tc>
      </w:tr>
      <w:tr w:rsidR="00020361" w:rsidRPr="00020361" w:rsidTr="00553304">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t>Alcohol, Tobacco and other Drugs Council Tasmania</w:t>
            </w:r>
          </w:p>
        </w:tc>
        <w:tc>
          <w:tcPr>
            <w:tcW w:w="2496"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YourCall 2.0 Professional Development Portal</w:t>
            </w:r>
          </w:p>
        </w:tc>
        <w:tc>
          <w:tcPr>
            <w:tcW w:w="1128"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$55,000</w:t>
            </w:r>
          </w:p>
        </w:tc>
        <w:tc>
          <w:tcPr>
            <w:tcW w:w="8742"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To implement to second stage of the YouCall Project. Involves developing PD resources for Community Service Workers to increase their skills in responding to people experiencing substance use issues.</w:t>
            </w:r>
          </w:p>
        </w:tc>
      </w:tr>
      <w:tr w:rsidR="00020361" w:rsidRPr="00020361" w:rsidTr="00553304">
        <w:trPr>
          <w:trHeight w:val="772"/>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t xml:space="preserve">King Island Regional Development Organisation </w:t>
            </w:r>
          </w:p>
        </w:tc>
        <w:tc>
          <w:tcPr>
            <w:tcW w:w="2496"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One stop workforce shop on King Island</w:t>
            </w:r>
          </w:p>
        </w:tc>
        <w:tc>
          <w:tcPr>
            <w:tcW w:w="1128"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$20,000</w:t>
            </w:r>
          </w:p>
        </w:tc>
        <w:tc>
          <w:tcPr>
            <w:tcW w:w="8742"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To support the development of a comprehensive business case with business/industry commitment to research a sustainable community enterprise model for (1) skills and training, (2) attracting labour, (3) providing recruitment and employment placement/brokerage services, (4) providing a labour hire service.</w:t>
            </w:r>
          </w:p>
        </w:tc>
      </w:tr>
      <w:tr w:rsidR="00020361" w:rsidRPr="00020361" w:rsidTr="00553304">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t>Music Tasmania</w:t>
            </w:r>
          </w:p>
        </w:tc>
        <w:tc>
          <w:tcPr>
            <w:tcW w:w="2496"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Music Futures: A Workforce Development Plan for Tasmania's contemporary music sector</w:t>
            </w:r>
          </w:p>
        </w:tc>
        <w:tc>
          <w:tcPr>
            <w:tcW w:w="1128"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$25,000</w:t>
            </w:r>
          </w:p>
        </w:tc>
        <w:tc>
          <w:tcPr>
            <w:tcW w:w="8742"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To support the development of a workforce development plan for the tasmanian music industry. The wfplan will identify industry wfd trends, strategies and actions to improve the capacity, capability, and competitiveness of the music industry, to help inform future investment.</w:t>
            </w:r>
          </w:p>
        </w:tc>
      </w:tr>
      <w:tr w:rsidR="00020361" w:rsidRPr="00020361" w:rsidTr="00553304">
        <w:trPr>
          <w:trHeight w:val="515"/>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lastRenderedPageBreak/>
              <w:t>TasICT</w:t>
            </w:r>
          </w:p>
        </w:tc>
        <w:tc>
          <w:tcPr>
            <w:tcW w:w="2496"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ICT Futures</w:t>
            </w:r>
          </w:p>
        </w:tc>
        <w:tc>
          <w:tcPr>
            <w:tcW w:w="1128"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$75,000</w:t>
            </w:r>
          </w:p>
        </w:tc>
        <w:tc>
          <w:tcPr>
            <w:tcW w:w="8742"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To complete committed school-focused lecture series and industry placements from completed Generations projects, and propose a sustainable model to continue these activities as routine part of ICT educational activity.</w:t>
            </w:r>
          </w:p>
        </w:tc>
      </w:tr>
      <w:tr w:rsidR="00020361" w:rsidRPr="00020361" w:rsidTr="00553304">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t>TasCOSS</w:t>
            </w:r>
          </w:p>
        </w:tc>
        <w:tc>
          <w:tcPr>
            <w:tcW w:w="2496"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Community Innovation and Investment</w:t>
            </w:r>
          </w:p>
        </w:tc>
        <w:tc>
          <w:tcPr>
            <w:tcW w:w="1128"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$400,000</w:t>
            </w:r>
          </w:p>
        </w:tc>
        <w:tc>
          <w:tcPr>
            <w:tcW w:w="8742"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To develop a co-designed Community Innovation and Investment Framework that will help inform projects to address locally driven initiatives for creation of employment opportunities.</w:t>
            </w:r>
          </w:p>
        </w:tc>
      </w:tr>
      <w:tr w:rsidR="00020361" w:rsidRPr="00020361" w:rsidTr="00553304">
        <w:trPr>
          <w:trHeight w:val="1029"/>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t>TCCI</w:t>
            </w:r>
          </w:p>
        </w:tc>
        <w:tc>
          <w:tcPr>
            <w:tcW w:w="2496"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Business Engagement</w:t>
            </w:r>
          </w:p>
        </w:tc>
        <w:tc>
          <w:tcPr>
            <w:tcW w:w="1128"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$400,000</w:t>
            </w:r>
          </w:p>
        </w:tc>
        <w:tc>
          <w:tcPr>
            <w:tcW w:w="8742"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To facilitate employer and business engagement with the objectives of the Tasmanian Employment Partnership: Jobs Action Package, in particular this includes working across the four nominated regions to: identify local employment opportunities; identify employers' skills needs and barriers to employing people within their region; and identify solutions required to connect employment opportunities with those seeking employment</w:t>
            </w:r>
          </w:p>
        </w:tc>
      </w:tr>
      <w:tr w:rsidR="00020361" w:rsidRPr="00020361" w:rsidTr="00553304">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t>Tasmanian Hospitality Association</w:t>
            </w:r>
          </w:p>
        </w:tc>
        <w:tc>
          <w:tcPr>
            <w:tcW w:w="2496"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Hospitality Awareness Pilot Program</w:t>
            </w:r>
          </w:p>
        </w:tc>
        <w:tc>
          <w:tcPr>
            <w:tcW w:w="1128"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$50,000</w:t>
            </w:r>
          </w:p>
        </w:tc>
        <w:tc>
          <w:tcPr>
            <w:tcW w:w="8742"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 xml:space="preserve">To support THA to: </w:t>
            </w:r>
            <w:r w:rsidRPr="00020361">
              <w:rPr>
                <w:rFonts w:asciiTheme="minorHAnsi" w:hAnsiTheme="minorHAnsi"/>
              </w:rPr>
              <w:br/>
              <w:t xml:space="preserve">1. design and co-ordinate delivery of approximately 50 Hospitality Awareness workshops for clients of employment agencies across Tasmania, </w:t>
            </w:r>
            <w:r w:rsidRPr="00020361">
              <w:rPr>
                <w:rFonts w:asciiTheme="minorHAnsi" w:hAnsiTheme="minorHAnsi"/>
              </w:rPr>
              <w:br/>
              <w:t xml:space="preserve">2. gather data and report on participation rates in those workshops, and on outcomes from those workshops, and </w:t>
            </w:r>
            <w:r w:rsidRPr="00020361">
              <w:rPr>
                <w:rFonts w:asciiTheme="minorHAnsi" w:hAnsiTheme="minorHAnsi"/>
              </w:rPr>
              <w:br/>
              <w:t>3. propose a sustainable model for raising Tasmanian employment agencies’ awareness of hospitality careers.</w:t>
            </w:r>
          </w:p>
        </w:tc>
      </w:tr>
      <w:tr w:rsidR="00020361" w:rsidRPr="00020361" w:rsidTr="00553304">
        <w:trPr>
          <w:trHeight w:val="515"/>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t>UTAS</w:t>
            </w:r>
          </w:p>
        </w:tc>
        <w:tc>
          <w:tcPr>
            <w:tcW w:w="2496"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Higher Education Apprenticeship</w:t>
            </w:r>
          </w:p>
        </w:tc>
        <w:tc>
          <w:tcPr>
            <w:tcW w:w="1128"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$200,000</w:t>
            </w:r>
          </w:p>
        </w:tc>
        <w:tc>
          <w:tcPr>
            <w:tcW w:w="8742"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To blend the best of vocational and higher education in a model that produces graduates with managerial, leadership and entrepreneurial capacity and employability skills.</w:t>
            </w:r>
          </w:p>
        </w:tc>
      </w:tr>
      <w:tr w:rsidR="00020361" w:rsidRPr="00020361" w:rsidTr="00553304">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t>TSIC</w:t>
            </w:r>
          </w:p>
        </w:tc>
        <w:tc>
          <w:tcPr>
            <w:tcW w:w="2496"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Seafood Jobs Tasmania Stage 2</w:t>
            </w:r>
          </w:p>
        </w:tc>
        <w:tc>
          <w:tcPr>
            <w:tcW w:w="1128"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$85,000</w:t>
            </w:r>
          </w:p>
        </w:tc>
        <w:tc>
          <w:tcPr>
            <w:tcW w:w="8742"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To develop and implement an online platform connecting jobseekers with employers and training providers.</w:t>
            </w:r>
          </w:p>
        </w:tc>
      </w:tr>
      <w:tr w:rsidR="00020361" w:rsidRPr="00020361" w:rsidTr="00553304">
        <w:trPr>
          <w:trHeight w:val="772"/>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lastRenderedPageBreak/>
              <w:t>Cultivate Productions Pty Ltd</w:t>
            </w:r>
          </w:p>
        </w:tc>
        <w:tc>
          <w:tcPr>
            <w:tcW w:w="2496"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Gaining Authentic Industry Training (GAIT)</w:t>
            </w:r>
          </w:p>
        </w:tc>
        <w:tc>
          <w:tcPr>
            <w:tcW w:w="1128"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$150,000</w:t>
            </w:r>
          </w:p>
        </w:tc>
        <w:tc>
          <w:tcPr>
            <w:tcW w:w="8742"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To investigate gaps in hospitality training for Certificate II (Kitchen Operations) and Certificate IV (Culinary Arts), and produce high quality educational videos for use by Tasmanian education and training providers to fill those gaps.</w:t>
            </w:r>
          </w:p>
        </w:tc>
      </w:tr>
      <w:tr w:rsidR="00020361" w:rsidRPr="00020361" w:rsidTr="00553304">
        <w:trPr>
          <w:cnfStyle w:val="000000100000" w:firstRow="0" w:lastRow="0" w:firstColumn="0" w:lastColumn="0" w:oddVBand="0" w:evenVBand="0" w:oddHBand="1"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t>MRC North</w:t>
            </w:r>
          </w:p>
        </w:tc>
        <w:tc>
          <w:tcPr>
            <w:tcW w:w="2496"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You're Welcome' - A Workforce Development Initiative of Cultural Diversity in Hospitality</w:t>
            </w:r>
          </w:p>
        </w:tc>
        <w:tc>
          <w:tcPr>
            <w:tcW w:w="1128"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$197,298</w:t>
            </w:r>
          </w:p>
        </w:tc>
        <w:tc>
          <w:tcPr>
            <w:tcW w:w="8742"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The project's objective is to reduce migrant jobseeker's barriers to employment in hospitality by engaging employers in the hospitality sector who value workforce diversity with multicultural communities and education and training providers. The outcomes will be an increase in employment of migrants in the hospitality sector; an increase in workforce diversity at participating hospitality venues and a reduction in discrimination towards migrants and an increase in the capacity and skills of migrant job seekers.</w:t>
            </w:r>
          </w:p>
        </w:tc>
      </w:tr>
      <w:tr w:rsidR="00020361" w:rsidRPr="00020361" w:rsidTr="00553304">
        <w:trPr>
          <w:trHeight w:val="1029"/>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t>NHT</w:t>
            </w:r>
          </w:p>
        </w:tc>
        <w:tc>
          <w:tcPr>
            <w:tcW w:w="2496"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Community Training Tools</w:t>
            </w:r>
          </w:p>
        </w:tc>
        <w:tc>
          <w:tcPr>
            <w:tcW w:w="1128"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$150,000</w:t>
            </w:r>
          </w:p>
        </w:tc>
        <w:tc>
          <w:tcPr>
            <w:tcW w:w="8742" w:type="dxa"/>
            <w:hideMark/>
          </w:tcPr>
          <w:p w:rsidR="00020361" w:rsidRPr="00020361" w:rsidRDefault="00020361" w:rsidP="00020361">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020361">
              <w:rPr>
                <w:rFonts w:asciiTheme="minorHAnsi" w:hAnsiTheme="minorHAnsi"/>
              </w:rPr>
              <w:t>The Project consists of mapping the training needs of House staff volunteers and their local communities and mechanisms to deliver the required training, including the development of resources such as 'How To' guides for governance training, how to create work ready skills, and how to negotiate training to the best advantage of their communities.</w:t>
            </w:r>
          </w:p>
        </w:tc>
      </w:tr>
      <w:tr w:rsidR="00020361" w:rsidRPr="00020361" w:rsidTr="00553304">
        <w:trPr>
          <w:cnfStyle w:val="000000100000" w:firstRow="0" w:lastRow="0" w:firstColumn="0" w:lastColumn="0" w:oddVBand="0" w:evenVBand="0" w:oddHBand="1" w:evenHBand="0" w:firstRowFirstColumn="0" w:firstRowLastColumn="0" w:lastRowFirstColumn="0" w:lastRowLastColumn="0"/>
          <w:trHeight w:val="1365"/>
        </w:trPr>
        <w:tc>
          <w:tcPr>
            <w:cnfStyle w:val="001000000000" w:firstRow="0" w:lastRow="0" w:firstColumn="1" w:lastColumn="0" w:oddVBand="0" w:evenVBand="0" w:oddHBand="0" w:evenHBand="0" w:firstRowFirstColumn="0" w:firstRowLastColumn="0" w:lastRowFirstColumn="0" w:lastRowLastColumn="0"/>
            <w:tcW w:w="1980" w:type="dxa"/>
          </w:tcPr>
          <w:p w:rsidR="00020361" w:rsidRPr="00020361" w:rsidRDefault="00020361" w:rsidP="00020361">
            <w:pPr>
              <w:spacing w:before="120" w:after="120" w:line="240" w:lineRule="auto"/>
              <w:rPr>
                <w:rFonts w:asciiTheme="minorHAnsi" w:hAnsiTheme="minorHAnsi"/>
              </w:rPr>
            </w:pPr>
            <w:r w:rsidRPr="00020361">
              <w:rPr>
                <w:rFonts w:asciiTheme="minorHAnsi" w:hAnsiTheme="minorHAnsi"/>
              </w:rPr>
              <w:t>ACSA</w:t>
            </w:r>
          </w:p>
        </w:tc>
        <w:tc>
          <w:tcPr>
            <w:tcW w:w="2496"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Aged Services just isn't for old people - the next stage</w:t>
            </w:r>
          </w:p>
        </w:tc>
        <w:tc>
          <w:tcPr>
            <w:tcW w:w="1128"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$200,000</w:t>
            </w:r>
          </w:p>
        </w:tc>
        <w:tc>
          <w:tcPr>
            <w:tcW w:w="8742" w:type="dxa"/>
            <w:hideMark/>
          </w:tcPr>
          <w:p w:rsidR="00020361" w:rsidRPr="00020361" w:rsidRDefault="00020361" w:rsidP="00020361">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020361">
              <w:rPr>
                <w:rFonts w:asciiTheme="minorHAnsi" w:hAnsiTheme="minorHAnsi"/>
              </w:rPr>
              <w:t>The objective of this Project is to increase the number of younger people entering into and/or considering a career in the Aged Services sector. One of the objectives of the project is to increase the number of apprenticeships (school based) which is a key government objective.  The project will develop marketing and promotional resources, partnerships between stakeholders including Aged Service organisations, Department of Education and Employment Service Providers.</w:t>
            </w:r>
          </w:p>
        </w:tc>
      </w:tr>
    </w:tbl>
    <w:p w:rsidR="00020361" w:rsidRPr="00BB4CDE" w:rsidRDefault="00020361" w:rsidP="00BB4CDE">
      <w:pPr>
        <w:spacing w:before="120" w:after="120" w:line="240" w:lineRule="auto"/>
        <w:rPr>
          <w:rFonts w:asciiTheme="minorHAnsi" w:hAnsiTheme="minorHAnsi"/>
        </w:rPr>
      </w:pPr>
    </w:p>
    <w:sectPr w:rsidR="00020361" w:rsidRPr="00BB4CDE" w:rsidSect="000E50B4">
      <w:pgSz w:w="16838" w:h="11906" w:orient="landscape" w:code="9"/>
      <w:pgMar w:top="1134" w:right="1134" w:bottom="1134" w:left="992" w:header="425" w:footer="425"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E5297"/>
    <w:multiLevelType w:val="hybridMultilevel"/>
    <w:tmpl w:val="393E8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B4"/>
    <w:rsid w:val="00010C7A"/>
    <w:rsid w:val="00020361"/>
    <w:rsid w:val="00040BC8"/>
    <w:rsid w:val="00084150"/>
    <w:rsid w:val="000D450D"/>
    <w:rsid w:val="000E50B4"/>
    <w:rsid w:val="00110C9C"/>
    <w:rsid w:val="00140918"/>
    <w:rsid w:val="00145DAE"/>
    <w:rsid w:val="001C51A9"/>
    <w:rsid w:val="003235C9"/>
    <w:rsid w:val="003D753F"/>
    <w:rsid w:val="00492BEB"/>
    <w:rsid w:val="005524F5"/>
    <w:rsid w:val="00553304"/>
    <w:rsid w:val="005631DC"/>
    <w:rsid w:val="005B1A8E"/>
    <w:rsid w:val="005D57CD"/>
    <w:rsid w:val="006C3DA4"/>
    <w:rsid w:val="00772EDB"/>
    <w:rsid w:val="00807D93"/>
    <w:rsid w:val="0086421E"/>
    <w:rsid w:val="00906F6B"/>
    <w:rsid w:val="009265BC"/>
    <w:rsid w:val="00AB4917"/>
    <w:rsid w:val="00B26DB1"/>
    <w:rsid w:val="00B35015"/>
    <w:rsid w:val="00B94C0C"/>
    <w:rsid w:val="00BB4CDE"/>
    <w:rsid w:val="00D67FD0"/>
    <w:rsid w:val="00D75811"/>
    <w:rsid w:val="00E1651A"/>
    <w:rsid w:val="00E83553"/>
    <w:rsid w:val="00EB3813"/>
    <w:rsid w:val="00F90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9578E-AE03-4409-8B38-1B7A92555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0B4"/>
    <w:pPr>
      <w:tabs>
        <w:tab w:val="left" w:pos="425"/>
      </w:tabs>
      <w:spacing w:after="140" w:line="300" w:lineRule="atLeast"/>
    </w:pPr>
    <w:rPr>
      <w:rFonts w:ascii="Gill Sans MT" w:eastAsia="Times New Roman" w:hAnsi="Gill Sans MT" w:cs="Times New Roman"/>
      <w:sz w:val="24"/>
      <w:szCs w:val="24"/>
      <w:lang w:val="en-AU"/>
    </w:rPr>
  </w:style>
  <w:style w:type="paragraph" w:styleId="Heading1">
    <w:name w:val="heading 1"/>
    <w:basedOn w:val="Normal"/>
    <w:next w:val="Normal"/>
    <w:link w:val="Heading1Char"/>
    <w:uiPriority w:val="9"/>
    <w:qFormat/>
    <w:rsid w:val="001C51A9"/>
    <w:pPr>
      <w:keepNext/>
      <w:keepLines/>
      <w:spacing w:after="240" w:line="240" w:lineRule="auto"/>
      <w:outlineLvl w:val="0"/>
    </w:pPr>
    <w:rPr>
      <w:rFonts w:eastAsiaTheme="majorEastAsia" w:cstheme="majorBidi"/>
      <w:b/>
      <w:color w:val="002060"/>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1A9"/>
    <w:rPr>
      <w:rFonts w:eastAsiaTheme="majorEastAsia" w:cstheme="majorBidi"/>
      <w:b/>
      <w:color w:val="002060"/>
      <w:sz w:val="28"/>
      <w:szCs w:val="32"/>
    </w:rPr>
  </w:style>
  <w:style w:type="table" w:styleId="TableGrid">
    <w:name w:val="Table Grid"/>
    <w:basedOn w:val="TableNormal"/>
    <w:uiPriority w:val="59"/>
    <w:rsid w:val="000E50B4"/>
    <w:pPr>
      <w:tabs>
        <w:tab w:val="left" w:pos="425"/>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010C7A"/>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9265BC"/>
    <w:pPr>
      <w:tabs>
        <w:tab w:val="left" w:pos="425"/>
      </w:tabs>
      <w:spacing w:after="0" w:line="240" w:lineRule="auto"/>
    </w:pPr>
    <w:rPr>
      <w:rFonts w:ascii="Gill Sans MT" w:eastAsia="Times New Roman" w:hAnsi="Gill Sans MT" w:cs="Times New Roman"/>
      <w:sz w:val="24"/>
      <w:szCs w:val="24"/>
      <w:lang w:val="en-AU"/>
    </w:rPr>
  </w:style>
  <w:style w:type="paragraph" w:styleId="ListParagraph">
    <w:name w:val="List Paragraph"/>
    <w:basedOn w:val="Normal"/>
    <w:uiPriority w:val="34"/>
    <w:qFormat/>
    <w:rsid w:val="00145DAE"/>
    <w:pPr>
      <w:tabs>
        <w:tab w:val="clear" w:pos="425"/>
      </w:tabs>
      <w:spacing w:before="120" w:after="200" w:line="280" w:lineRule="exact"/>
      <w:ind w:left="720"/>
      <w:contextualSpacing/>
    </w:pPr>
    <w:rPr>
      <w:rFonts w:asciiTheme="minorHAnsi" w:eastAsiaTheme="minorHAnsi" w:hAnsiTheme="minorHAnsi" w:cstheme="minorBidi"/>
      <w:color w:val="000000" w:themeColor="text1"/>
      <w:sz w:val="22"/>
      <w:szCs w:val="22"/>
    </w:rPr>
  </w:style>
  <w:style w:type="character" w:styleId="Hyperlink">
    <w:name w:val="Hyperlink"/>
    <w:basedOn w:val="DefaultParagraphFont"/>
    <w:uiPriority w:val="99"/>
    <w:unhideWhenUsed/>
    <w:rsid w:val="00906F6B"/>
    <w:rPr>
      <w:color w:val="0563C1" w:themeColor="hyperlink"/>
      <w:u w:val="single"/>
    </w:rPr>
  </w:style>
  <w:style w:type="table" w:styleId="ListTable4-Accent1">
    <w:name w:val="List Table 4 Accent 1"/>
    <w:basedOn w:val="TableNormal"/>
    <w:uiPriority w:val="49"/>
    <w:rsid w:val="005533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922">
      <w:bodyDiv w:val="1"/>
      <w:marLeft w:val="0"/>
      <w:marRight w:val="0"/>
      <w:marTop w:val="0"/>
      <w:marBottom w:val="0"/>
      <w:divBdr>
        <w:top w:val="none" w:sz="0" w:space="0" w:color="auto"/>
        <w:left w:val="none" w:sz="0" w:space="0" w:color="auto"/>
        <w:bottom w:val="none" w:sz="0" w:space="0" w:color="auto"/>
        <w:right w:val="none" w:sz="0" w:space="0" w:color="auto"/>
      </w:divBdr>
    </w:div>
    <w:div w:id="34817304">
      <w:bodyDiv w:val="1"/>
      <w:marLeft w:val="0"/>
      <w:marRight w:val="0"/>
      <w:marTop w:val="0"/>
      <w:marBottom w:val="0"/>
      <w:divBdr>
        <w:top w:val="none" w:sz="0" w:space="0" w:color="auto"/>
        <w:left w:val="none" w:sz="0" w:space="0" w:color="auto"/>
        <w:bottom w:val="none" w:sz="0" w:space="0" w:color="auto"/>
        <w:right w:val="none" w:sz="0" w:space="0" w:color="auto"/>
      </w:divBdr>
    </w:div>
    <w:div w:id="108283040">
      <w:bodyDiv w:val="1"/>
      <w:marLeft w:val="0"/>
      <w:marRight w:val="0"/>
      <w:marTop w:val="0"/>
      <w:marBottom w:val="0"/>
      <w:divBdr>
        <w:top w:val="none" w:sz="0" w:space="0" w:color="auto"/>
        <w:left w:val="none" w:sz="0" w:space="0" w:color="auto"/>
        <w:bottom w:val="none" w:sz="0" w:space="0" w:color="auto"/>
        <w:right w:val="none" w:sz="0" w:space="0" w:color="auto"/>
      </w:divBdr>
    </w:div>
    <w:div w:id="204103462">
      <w:bodyDiv w:val="1"/>
      <w:marLeft w:val="0"/>
      <w:marRight w:val="0"/>
      <w:marTop w:val="0"/>
      <w:marBottom w:val="0"/>
      <w:divBdr>
        <w:top w:val="none" w:sz="0" w:space="0" w:color="auto"/>
        <w:left w:val="none" w:sz="0" w:space="0" w:color="auto"/>
        <w:bottom w:val="none" w:sz="0" w:space="0" w:color="auto"/>
        <w:right w:val="none" w:sz="0" w:space="0" w:color="auto"/>
      </w:divBdr>
    </w:div>
    <w:div w:id="299847872">
      <w:bodyDiv w:val="1"/>
      <w:marLeft w:val="0"/>
      <w:marRight w:val="0"/>
      <w:marTop w:val="0"/>
      <w:marBottom w:val="0"/>
      <w:divBdr>
        <w:top w:val="none" w:sz="0" w:space="0" w:color="auto"/>
        <w:left w:val="none" w:sz="0" w:space="0" w:color="auto"/>
        <w:bottom w:val="none" w:sz="0" w:space="0" w:color="auto"/>
        <w:right w:val="none" w:sz="0" w:space="0" w:color="auto"/>
      </w:divBdr>
    </w:div>
    <w:div w:id="436369003">
      <w:bodyDiv w:val="1"/>
      <w:marLeft w:val="0"/>
      <w:marRight w:val="0"/>
      <w:marTop w:val="0"/>
      <w:marBottom w:val="0"/>
      <w:divBdr>
        <w:top w:val="none" w:sz="0" w:space="0" w:color="auto"/>
        <w:left w:val="none" w:sz="0" w:space="0" w:color="auto"/>
        <w:bottom w:val="none" w:sz="0" w:space="0" w:color="auto"/>
        <w:right w:val="none" w:sz="0" w:space="0" w:color="auto"/>
      </w:divBdr>
    </w:div>
    <w:div w:id="641080895">
      <w:bodyDiv w:val="1"/>
      <w:marLeft w:val="0"/>
      <w:marRight w:val="0"/>
      <w:marTop w:val="0"/>
      <w:marBottom w:val="0"/>
      <w:divBdr>
        <w:top w:val="none" w:sz="0" w:space="0" w:color="auto"/>
        <w:left w:val="none" w:sz="0" w:space="0" w:color="auto"/>
        <w:bottom w:val="none" w:sz="0" w:space="0" w:color="auto"/>
        <w:right w:val="none" w:sz="0" w:space="0" w:color="auto"/>
      </w:divBdr>
    </w:div>
    <w:div w:id="652367229">
      <w:bodyDiv w:val="1"/>
      <w:marLeft w:val="0"/>
      <w:marRight w:val="0"/>
      <w:marTop w:val="0"/>
      <w:marBottom w:val="0"/>
      <w:divBdr>
        <w:top w:val="none" w:sz="0" w:space="0" w:color="auto"/>
        <w:left w:val="none" w:sz="0" w:space="0" w:color="auto"/>
        <w:bottom w:val="none" w:sz="0" w:space="0" w:color="auto"/>
        <w:right w:val="none" w:sz="0" w:space="0" w:color="auto"/>
      </w:divBdr>
    </w:div>
    <w:div w:id="766925971">
      <w:bodyDiv w:val="1"/>
      <w:marLeft w:val="0"/>
      <w:marRight w:val="0"/>
      <w:marTop w:val="0"/>
      <w:marBottom w:val="0"/>
      <w:divBdr>
        <w:top w:val="none" w:sz="0" w:space="0" w:color="auto"/>
        <w:left w:val="none" w:sz="0" w:space="0" w:color="auto"/>
        <w:bottom w:val="none" w:sz="0" w:space="0" w:color="auto"/>
        <w:right w:val="none" w:sz="0" w:space="0" w:color="auto"/>
      </w:divBdr>
    </w:div>
    <w:div w:id="942036564">
      <w:bodyDiv w:val="1"/>
      <w:marLeft w:val="0"/>
      <w:marRight w:val="0"/>
      <w:marTop w:val="0"/>
      <w:marBottom w:val="0"/>
      <w:divBdr>
        <w:top w:val="none" w:sz="0" w:space="0" w:color="auto"/>
        <w:left w:val="none" w:sz="0" w:space="0" w:color="auto"/>
        <w:bottom w:val="none" w:sz="0" w:space="0" w:color="auto"/>
        <w:right w:val="none" w:sz="0" w:space="0" w:color="auto"/>
      </w:divBdr>
    </w:div>
    <w:div w:id="985091938">
      <w:bodyDiv w:val="1"/>
      <w:marLeft w:val="0"/>
      <w:marRight w:val="0"/>
      <w:marTop w:val="0"/>
      <w:marBottom w:val="0"/>
      <w:divBdr>
        <w:top w:val="none" w:sz="0" w:space="0" w:color="auto"/>
        <w:left w:val="none" w:sz="0" w:space="0" w:color="auto"/>
        <w:bottom w:val="none" w:sz="0" w:space="0" w:color="auto"/>
        <w:right w:val="none" w:sz="0" w:space="0" w:color="auto"/>
      </w:divBdr>
    </w:div>
    <w:div w:id="1080366510">
      <w:bodyDiv w:val="1"/>
      <w:marLeft w:val="0"/>
      <w:marRight w:val="0"/>
      <w:marTop w:val="0"/>
      <w:marBottom w:val="0"/>
      <w:divBdr>
        <w:top w:val="none" w:sz="0" w:space="0" w:color="auto"/>
        <w:left w:val="none" w:sz="0" w:space="0" w:color="auto"/>
        <w:bottom w:val="none" w:sz="0" w:space="0" w:color="auto"/>
        <w:right w:val="none" w:sz="0" w:space="0" w:color="auto"/>
      </w:divBdr>
    </w:div>
    <w:div w:id="1583101065">
      <w:bodyDiv w:val="1"/>
      <w:marLeft w:val="0"/>
      <w:marRight w:val="0"/>
      <w:marTop w:val="0"/>
      <w:marBottom w:val="0"/>
      <w:divBdr>
        <w:top w:val="none" w:sz="0" w:space="0" w:color="auto"/>
        <w:left w:val="none" w:sz="0" w:space="0" w:color="auto"/>
        <w:bottom w:val="none" w:sz="0" w:space="0" w:color="auto"/>
        <w:right w:val="none" w:sz="0" w:space="0" w:color="auto"/>
      </w:divBdr>
    </w:div>
    <w:div w:id="1749308574">
      <w:bodyDiv w:val="1"/>
      <w:marLeft w:val="0"/>
      <w:marRight w:val="0"/>
      <w:marTop w:val="0"/>
      <w:marBottom w:val="0"/>
      <w:divBdr>
        <w:top w:val="none" w:sz="0" w:space="0" w:color="auto"/>
        <w:left w:val="none" w:sz="0" w:space="0" w:color="auto"/>
        <w:bottom w:val="none" w:sz="0" w:space="0" w:color="auto"/>
        <w:right w:val="none" w:sz="0" w:space="0" w:color="auto"/>
      </w:divBdr>
    </w:div>
    <w:div w:id="1863133137">
      <w:bodyDiv w:val="1"/>
      <w:marLeft w:val="0"/>
      <w:marRight w:val="0"/>
      <w:marTop w:val="0"/>
      <w:marBottom w:val="0"/>
      <w:divBdr>
        <w:top w:val="none" w:sz="0" w:space="0" w:color="auto"/>
        <w:left w:val="none" w:sz="0" w:space="0" w:color="auto"/>
        <w:bottom w:val="none" w:sz="0" w:space="0" w:color="auto"/>
        <w:right w:val="none" w:sz="0" w:space="0" w:color="auto"/>
      </w:divBdr>
    </w:div>
    <w:div w:id="212789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kills.tas.gov.au/employersindustry/workforcepla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4</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McCracken, Kris</dc:creator>
  <cp:keywords/>
  <dc:description/>
  <cp:lastModifiedBy>Seaborn, Linda</cp:lastModifiedBy>
  <cp:revision>9</cp:revision>
  <dcterms:created xsi:type="dcterms:W3CDTF">2018-07-19T05:41:00Z</dcterms:created>
  <dcterms:modified xsi:type="dcterms:W3CDTF">2018-07-20T01:37:00Z</dcterms:modified>
</cp:coreProperties>
</file>